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887B" w14:textId="27D78BC0" w:rsidR="008159EF" w:rsidRDefault="008159EF" w:rsidP="009721D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318FF1F" wp14:editId="299BC4AB">
            <wp:simplePos x="0" y="0"/>
            <wp:positionH relativeFrom="column">
              <wp:posOffset>3550794</wp:posOffset>
            </wp:positionH>
            <wp:positionV relativeFrom="paragraph">
              <wp:posOffset>120</wp:posOffset>
            </wp:positionV>
            <wp:extent cx="3099377" cy="1014559"/>
            <wp:effectExtent l="0" t="0" r="6350" b="0"/>
            <wp:wrapSquare wrapText="bothSides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MYK mit Zusat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377" cy="101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A5085" w14:textId="2590E8B0" w:rsidR="009721DA" w:rsidRPr="009721DA" w:rsidRDefault="008159EF" w:rsidP="009721D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br/>
      </w:r>
      <w:r>
        <w:rPr>
          <w:rFonts w:eastAsia="Times New Roman"/>
          <w:b/>
          <w:bCs/>
          <w:kern w:val="36"/>
          <w:sz w:val="48"/>
          <w:szCs w:val="48"/>
        </w:rPr>
        <w:br/>
      </w:r>
      <w:r w:rsidRPr="008159EF">
        <w:rPr>
          <w:rFonts w:ascii="Stem Bold" w:eastAsia="Times New Roman" w:hAnsi="Stem Bold"/>
          <w:b/>
          <w:bCs/>
          <w:kern w:val="36"/>
          <w:sz w:val="48"/>
          <w:szCs w:val="48"/>
        </w:rPr>
        <w:t>PRESSEINFORMATION</w:t>
      </w:r>
      <w:r>
        <w:rPr>
          <w:rFonts w:eastAsia="Times New Roman"/>
          <w:b/>
          <w:bCs/>
          <w:kern w:val="36"/>
          <w:sz w:val="48"/>
          <w:szCs w:val="48"/>
        </w:rPr>
        <w:br/>
      </w:r>
      <w:r>
        <w:rPr>
          <w:rFonts w:eastAsia="Times New Roman"/>
          <w:b/>
          <w:bCs/>
          <w:kern w:val="36"/>
          <w:sz w:val="48"/>
          <w:szCs w:val="48"/>
        </w:rPr>
        <w:br/>
      </w:r>
      <w:r w:rsidR="009721DA" w:rsidRPr="009721DA">
        <w:rPr>
          <w:rFonts w:eastAsia="Times New Roman"/>
          <w:b/>
          <w:bCs/>
          <w:kern w:val="36"/>
          <w:sz w:val="48"/>
          <w:szCs w:val="48"/>
        </w:rPr>
        <w:t>Öko</w:t>
      </w:r>
      <w:r w:rsidR="009721DA" w:rsidRPr="00735663">
        <w:rPr>
          <w:rFonts w:eastAsia="Times New Roman"/>
          <w:b/>
          <w:bCs/>
          <w:kern w:val="36"/>
          <w:sz w:val="48"/>
          <w:szCs w:val="48"/>
        </w:rPr>
        <w:t>-</w:t>
      </w:r>
      <w:r w:rsidR="009721DA" w:rsidRPr="009721DA">
        <w:rPr>
          <w:rFonts w:eastAsia="Times New Roman"/>
          <w:b/>
          <w:bCs/>
          <w:kern w:val="36"/>
          <w:sz w:val="48"/>
          <w:szCs w:val="48"/>
        </w:rPr>
        <w:t>soziale Produktauszeichnung bald Realität?</w:t>
      </w:r>
    </w:p>
    <w:p w14:paraId="5A6FE498" w14:textId="5953F5EB" w:rsidR="009721DA" w:rsidRPr="009721DA" w:rsidRDefault="009721DA" w:rsidP="009721D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</w:rPr>
      </w:pPr>
      <w:r w:rsidRPr="009721DA">
        <w:rPr>
          <w:rFonts w:eastAsia="Times New Roman"/>
          <w:b/>
          <w:bCs/>
          <w:sz w:val="36"/>
          <w:szCs w:val="36"/>
        </w:rPr>
        <w:t xml:space="preserve">Forschungsförderungsgesellschaft fördert mit ProNaWi die Entwicklung einer dynamischen, skalierbaren </w:t>
      </w:r>
      <w:r w:rsidR="009179EC">
        <w:rPr>
          <w:rFonts w:eastAsia="Times New Roman"/>
          <w:b/>
          <w:bCs/>
          <w:sz w:val="36"/>
          <w:szCs w:val="36"/>
        </w:rPr>
        <w:t xml:space="preserve">Methode und </w:t>
      </w:r>
      <w:r w:rsidRPr="009721DA">
        <w:rPr>
          <w:rFonts w:eastAsia="Times New Roman"/>
          <w:b/>
          <w:bCs/>
          <w:sz w:val="36"/>
          <w:szCs w:val="36"/>
        </w:rPr>
        <w:t xml:space="preserve">Software für die </w:t>
      </w:r>
      <w:r w:rsidRPr="00735663">
        <w:rPr>
          <w:rFonts w:eastAsia="Times New Roman"/>
          <w:b/>
          <w:bCs/>
          <w:sz w:val="36"/>
          <w:szCs w:val="36"/>
        </w:rPr>
        <w:t xml:space="preserve">öko-soziale Bewertung </w:t>
      </w:r>
      <w:r w:rsidRPr="009721DA">
        <w:rPr>
          <w:rFonts w:eastAsia="Times New Roman"/>
          <w:b/>
          <w:bCs/>
          <w:sz w:val="36"/>
          <w:szCs w:val="36"/>
        </w:rPr>
        <w:t xml:space="preserve">von Handelsprodukten. </w:t>
      </w:r>
    </w:p>
    <w:p w14:paraId="79BB7621" w14:textId="5CFFBD98" w:rsidR="00735663" w:rsidRPr="0064573A" w:rsidRDefault="008159EF" w:rsidP="009721DA">
      <w:pPr>
        <w:pStyle w:val="StandardWeb"/>
        <w:rPr>
          <w:rFonts w:ascii="Stem" w:hAnsi="Stem"/>
          <w:b/>
          <w:bCs/>
        </w:rPr>
      </w:pPr>
      <w:r>
        <w:rPr>
          <w:rFonts w:ascii="Stem" w:hAnsi="Stem"/>
          <w:b/>
          <w:bCs/>
        </w:rPr>
        <w:t xml:space="preserve">Wien, 31.01.2020 - </w:t>
      </w:r>
      <w:r w:rsidR="009721DA" w:rsidRPr="0064573A">
        <w:rPr>
          <w:rFonts w:ascii="Stem" w:hAnsi="Stem"/>
          <w:b/>
          <w:bCs/>
        </w:rPr>
        <w:t>Handelsunternehmen und Konsument*innen sollen auf einen Blick erkennen können, welchen "</w:t>
      </w:r>
      <w:proofErr w:type="spellStart"/>
      <w:r w:rsidR="009721DA" w:rsidRPr="0064573A">
        <w:rPr>
          <w:rFonts w:ascii="Stem" w:hAnsi="Stem"/>
          <w:b/>
          <w:bCs/>
        </w:rPr>
        <w:t>Sustainable</w:t>
      </w:r>
      <w:proofErr w:type="spellEnd"/>
      <w:r w:rsidR="009721DA" w:rsidRPr="0064573A">
        <w:rPr>
          <w:rFonts w:ascii="Stem" w:hAnsi="Stem"/>
          <w:b/>
          <w:bCs/>
        </w:rPr>
        <w:t xml:space="preserve"> Impact" ihr Sortiment bzw. ihr Einkauf hat. Zudem soll ein Werte-basiertes Kundenbindungssystem ökologisches Verhalten belohnen. </w:t>
      </w:r>
      <w:r w:rsidR="009179EC" w:rsidRPr="00C6578D">
        <w:rPr>
          <w:rFonts w:ascii="Stem" w:hAnsi="Stem"/>
          <w:b/>
          <w:bCs/>
        </w:rPr>
        <w:t>Die dafür seitens des Handels nötige Methodik und Software integrieren sich in bereits vorhandene Warenwirtschaftssysteme</w:t>
      </w:r>
      <w:r w:rsidR="009721DA" w:rsidRPr="0064573A">
        <w:rPr>
          <w:rFonts w:ascii="Stem" w:hAnsi="Stem"/>
          <w:b/>
          <w:bCs/>
        </w:rPr>
        <w:t xml:space="preserve">. </w:t>
      </w:r>
      <w:bookmarkStart w:id="0" w:name="_GoBack"/>
      <w:bookmarkEnd w:id="0"/>
    </w:p>
    <w:p w14:paraId="5F68C43D" w14:textId="5F7DB363" w:rsidR="00F9248E" w:rsidRPr="008159EF" w:rsidRDefault="00735663" w:rsidP="009721DA">
      <w:pPr>
        <w:pStyle w:val="StandardWeb"/>
        <w:rPr>
          <w:rFonts w:ascii="Stem" w:hAnsi="Stem"/>
        </w:rPr>
      </w:pPr>
      <w:r w:rsidRPr="008159EF">
        <w:rPr>
          <w:rFonts w:ascii="Stem" w:hAnsi="Stem"/>
        </w:rPr>
        <w:t>Jedes Produkt im Regal benötigt Humankapital und Ressourcen der Natur – aber die End-Konsument</w:t>
      </w:r>
      <w:r w:rsidR="009179EC" w:rsidRPr="008159EF">
        <w:rPr>
          <w:rFonts w:ascii="Stem" w:hAnsi="Stem"/>
        </w:rPr>
        <w:t>*i</w:t>
      </w:r>
      <w:r w:rsidRPr="008159EF">
        <w:rPr>
          <w:rFonts w:ascii="Stem" w:hAnsi="Stem"/>
        </w:rPr>
        <w:t xml:space="preserve">nnen erfahren kaum darüber – und </w:t>
      </w:r>
      <w:proofErr w:type="gramStart"/>
      <w:r w:rsidRPr="008159EF">
        <w:rPr>
          <w:rFonts w:ascii="Stem" w:hAnsi="Stem"/>
        </w:rPr>
        <w:t>das</w:t>
      </w:r>
      <w:proofErr w:type="gramEnd"/>
      <w:r w:rsidRPr="008159EF">
        <w:rPr>
          <w:rFonts w:ascii="Stem" w:hAnsi="Stem"/>
        </w:rPr>
        <w:t xml:space="preserve">, obwohl zahlreiche politische Herausforderungen (Rio+20, Klimaschutzabkommen 2015 / COP21, Agenda 2030/SDGs etc.) eng mit nachhaltiger Ressourcen- und Energienutzung verknüpft sind. </w:t>
      </w:r>
      <w:r w:rsidR="00F9248E" w:rsidRPr="008159EF">
        <w:rPr>
          <w:rFonts w:ascii="Stem" w:hAnsi="Stem"/>
        </w:rPr>
        <w:t>Ziel des Projekts ProNaWi – pro Nachhaltiges Wirtschaften – ist es, diese Informationen beim Einkauf sichtbar zu machen und nachhaltigen Einkauf zu belohnen.</w:t>
      </w:r>
      <w:r w:rsidR="0089575B" w:rsidRPr="008159EF">
        <w:rPr>
          <w:rFonts w:ascii="Stem" w:hAnsi="Stem"/>
        </w:rPr>
        <w:t xml:space="preserve"> Damit wird auch die Voraussetzung für die Entwicklung effektiver Lenkungsinstrumente geschaffen.</w:t>
      </w:r>
    </w:p>
    <w:p w14:paraId="1AE786C3" w14:textId="61388DAE" w:rsidR="00735663" w:rsidRPr="00735663" w:rsidRDefault="00735663" w:rsidP="009721DA">
      <w:pPr>
        <w:pStyle w:val="StandardWeb"/>
        <w:rPr>
          <w:rFonts w:ascii="Stem" w:hAnsi="Stem"/>
        </w:rPr>
      </w:pPr>
      <w:r w:rsidRPr="00735663">
        <w:rPr>
          <w:rFonts w:ascii="Stem" w:hAnsi="Stem"/>
        </w:rPr>
        <w:t xml:space="preserve">Der Erfolg des Projekts wird durch die optimal komplementäre Zusammensetzung des Konsortiums gewährleistet: Koordination und Bewertungs-Software übernimmt das Umweltinformatik-KMU </w:t>
      </w:r>
      <w:proofErr w:type="spellStart"/>
      <w:r w:rsidRPr="00735663">
        <w:rPr>
          <w:rFonts w:ascii="Stem" w:hAnsi="Stem"/>
        </w:rPr>
        <w:t>akaryon</w:t>
      </w:r>
      <w:proofErr w:type="spellEnd"/>
      <w:r w:rsidRPr="00735663">
        <w:rPr>
          <w:rFonts w:ascii="Stem" w:hAnsi="Stem"/>
        </w:rPr>
        <w:t xml:space="preserve"> GmbH. Wissenschaftliche Arbeiten liegen in der Verantwortlichkeit des Fachbüro</w:t>
      </w:r>
      <w:r w:rsidR="009179EC">
        <w:rPr>
          <w:rFonts w:ascii="Stem" w:hAnsi="Stem"/>
        </w:rPr>
        <w:t>s</w:t>
      </w:r>
      <w:r w:rsidRPr="00735663">
        <w:rPr>
          <w:rFonts w:ascii="Stem" w:hAnsi="Stem"/>
        </w:rPr>
        <w:t xml:space="preserve"> Landschaftsökologie (mit Dr. H.J. </w:t>
      </w:r>
      <w:proofErr w:type="spellStart"/>
      <w:r w:rsidRPr="00735663">
        <w:rPr>
          <w:rFonts w:ascii="Stem" w:hAnsi="Stem"/>
        </w:rPr>
        <w:t>Orthaber</w:t>
      </w:r>
      <w:proofErr w:type="spellEnd"/>
      <w:r w:rsidRPr="00735663">
        <w:rPr>
          <w:rFonts w:ascii="Stem" w:hAnsi="Stem"/>
        </w:rPr>
        <w:t xml:space="preserve"> als Ideenträger des Projekts), der TU Graz und der </w:t>
      </w:r>
      <w:proofErr w:type="spellStart"/>
      <w:r w:rsidRPr="00735663">
        <w:rPr>
          <w:rFonts w:ascii="Stem" w:hAnsi="Stem"/>
        </w:rPr>
        <w:t>Circular</w:t>
      </w:r>
      <w:proofErr w:type="spellEnd"/>
      <w:r w:rsidRPr="00735663">
        <w:rPr>
          <w:rFonts w:ascii="Stem" w:hAnsi="Stem"/>
        </w:rPr>
        <w:t xml:space="preserve"> Analytics TK GmbH. D</w:t>
      </w:r>
      <w:r w:rsidR="00F9248E">
        <w:rPr>
          <w:rFonts w:ascii="Stem" w:hAnsi="Stem"/>
        </w:rPr>
        <w:t>ie</w:t>
      </w:r>
      <w:r w:rsidRPr="00735663">
        <w:rPr>
          <w:rFonts w:ascii="Stem" w:hAnsi="Stem"/>
        </w:rPr>
        <w:t xml:space="preserve"> BMD Systemhaus GmbH vertritt ein wichtiges Kassen-/Warenwirtschaftssystem und ist für die prototypische Schnittstellenumsetzung an Bord. Die </w:t>
      </w:r>
      <w:r w:rsidRPr="009567F8">
        <w:rPr>
          <w:rFonts w:ascii="Stem" w:hAnsi="Stem"/>
          <w:i/>
          <w:iCs/>
        </w:rPr>
        <w:t>Gute Agentur</w:t>
      </w:r>
      <w:r w:rsidRPr="00735663">
        <w:rPr>
          <w:rFonts w:ascii="Stem" w:hAnsi="Stem"/>
        </w:rPr>
        <w:t xml:space="preserve"> kümmert sich um kreative Kundenbindungsinstrumente. Gemeinsam werden Dienstleistungen und Wege für Marketing und Vertrieb konzipiert. Handelsunternehmen und Lieferant</w:t>
      </w:r>
      <w:r w:rsidR="009179EC">
        <w:rPr>
          <w:rFonts w:ascii="Stem" w:hAnsi="Stem"/>
        </w:rPr>
        <w:t>*innen</w:t>
      </w:r>
      <w:r w:rsidRPr="00735663">
        <w:rPr>
          <w:rFonts w:ascii="Stem" w:hAnsi="Stem"/>
        </w:rPr>
        <w:t xml:space="preserve"> sind als Anwendungspartner</w:t>
      </w:r>
      <w:r w:rsidR="009179EC">
        <w:rPr>
          <w:rFonts w:ascii="Stem" w:hAnsi="Stem"/>
        </w:rPr>
        <w:t>*i</w:t>
      </w:r>
      <w:r w:rsidRPr="00735663">
        <w:rPr>
          <w:rFonts w:ascii="Stem" w:hAnsi="Stem"/>
        </w:rPr>
        <w:t xml:space="preserve">nnen in die Entwicklung eingebunden. </w:t>
      </w:r>
    </w:p>
    <w:p w14:paraId="3F29943F" w14:textId="251E508C" w:rsidR="00735663" w:rsidRPr="00735663" w:rsidRDefault="00C6578D" w:rsidP="009721DA">
      <w:pPr>
        <w:pStyle w:val="StandardWeb"/>
        <w:rPr>
          <w:rFonts w:ascii="Stem" w:hAnsi="Stem"/>
        </w:rPr>
      </w:pPr>
      <w:r>
        <w:rPr>
          <w:rFonts w:ascii="Stem" w:hAnsi="Stem"/>
        </w:rPr>
        <w:br/>
      </w:r>
      <w:r>
        <w:rPr>
          <w:rFonts w:ascii="Stem" w:hAnsi="Stem"/>
        </w:rPr>
        <w:br/>
      </w:r>
      <w:r>
        <w:rPr>
          <w:rFonts w:ascii="Stem" w:hAnsi="Stem"/>
        </w:rPr>
        <w:lastRenderedPageBreak/>
        <w:br/>
      </w:r>
      <w:r>
        <w:rPr>
          <w:rFonts w:ascii="Stem" w:hAnsi="Stem"/>
        </w:rPr>
        <w:br/>
      </w:r>
      <w:r>
        <w:rPr>
          <w:rFonts w:ascii="Stem" w:hAnsi="Stem"/>
        </w:rPr>
        <w:br/>
      </w:r>
      <w:r>
        <w:rPr>
          <w:rFonts w:ascii="Stem" w:hAnsi="Stem"/>
        </w:rPr>
        <w:br/>
      </w:r>
      <w:r>
        <w:rPr>
          <w:rFonts w:ascii="Stem" w:hAnsi="Stem"/>
        </w:rPr>
        <w:br/>
      </w:r>
      <w:r>
        <w:rPr>
          <w:rFonts w:ascii="Stem" w:hAnsi="Stem"/>
        </w:rPr>
        <w:br/>
      </w:r>
      <w:r>
        <w:rPr>
          <w:rFonts w:ascii="Stem" w:hAnsi="Stem"/>
        </w:rPr>
        <w:br/>
      </w:r>
      <w:r w:rsidR="00735663" w:rsidRPr="00735663">
        <w:rPr>
          <w:rFonts w:ascii="Stem" w:hAnsi="Stem"/>
        </w:rPr>
        <w:t xml:space="preserve">Als Ergebnis steht </w:t>
      </w:r>
      <w:r w:rsidR="00F9248E">
        <w:rPr>
          <w:rFonts w:ascii="Stem" w:hAnsi="Stem"/>
        </w:rPr>
        <w:t>dann</w:t>
      </w:r>
      <w:r w:rsidR="009026D7">
        <w:rPr>
          <w:rFonts w:ascii="Stem" w:hAnsi="Stem"/>
        </w:rPr>
        <w:t xml:space="preserve"> </w:t>
      </w:r>
      <w:r w:rsidR="00735663" w:rsidRPr="00735663">
        <w:rPr>
          <w:rFonts w:ascii="Stem" w:hAnsi="Stem"/>
        </w:rPr>
        <w:t xml:space="preserve">endlich eine praktikable </w:t>
      </w:r>
      <w:r w:rsidR="009026D7">
        <w:rPr>
          <w:rFonts w:ascii="Stem" w:hAnsi="Stem"/>
        </w:rPr>
        <w:t>Form</w:t>
      </w:r>
      <w:r w:rsidR="009026D7" w:rsidRPr="00735663">
        <w:rPr>
          <w:rFonts w:ascii="Stem" w:hAnsi="Stem"/>
        </w:rPr>
        <w:t xml:space="preserve"> </w:t>
      </w:r>
      <w:r w:rsidR="00735663" w:rsidRPr="00735663">
        <w:rPr>
          <w:rFonts w:ascii="Stem" w:hAnsi="Stem"/>
        </w:rPr>
        <w:t xml:space="preserve">der "doppelten Preisauszeichnung" </w:t>
      </w:r>
      <w:r w:rsidR="00FF5573">
        <w:rPr>
          <w:rFonts w:ascii="Stem" w:hAnsi="Stem"/>
        </w:rPr>
        <w:t>zur Verfügung. Und eine Reihe weiterer Features</w:t>
      </w:r>
      <w:r w:rsidR="00735663" w:rsidRPr="00735663">
        <w:rPr>
          <w:rFonts w:ascii="Stem" w:hAnsi="Stem"/>
        </w:rPr>
        <w:t xml:space="preserve">, die in Zukunft den Einkauf „mit gutem Gewissen“ operativ unterstützen und so den Handel auf zukunftsfähigen Wegen begleiten! </w:t>
      </w:r>
    </w:p>
    <w:p w14:paraId="39291193" w14:textId="043A95FC" w:rsidR="009721DA" w:rsidRPr="0064573A" w:rsidRDefault="009567F8" w:rsidP="009721DA">
      <w:pPr>
        <w:pStyle w:val="StandardWeb"/>
        <w:rPr>
          <w:rFonts w:ascii="Stem" w:hAnsi="Stem"/>
          <w:u w:val="single"/>
        </w:rPr>
      </w:pPr>
      <w:r>
        <w:rPr>
          <w:rFonts w:ascii="Stem" w:hAnsi="Stem"/>
          <w:u w:val="single"/>
        </w:rPr>
        <w:br/>
      </w:r>
      <w:r>
        <w:rPr>
          <w:rFonts w:ascii="Stem" w:hAnsi="Stem"/>
          <w:u w:val="single"/>
        </w:rPr>
        <w:br/>
      </w:r>
      <w:r w:rsidR="009721DA" w:rsidRPr="0064573A">
        <w:rPr>
          <w:rFonts w:ascii="Stem" w:hAnsi="Stem"/>
          <w:u w:val="single"/>
        </w:rPr>
        <w:t>Projektpartner*innen: </w:t>
      </w:r>
    </w:p>
    <w:p w14:paraId="77940253" w14:textId="5ACB4E96" w:rsidR="00735663" w:rsidRPr="00735663" w:rsidRDefault="00691C0A" w:rsidP="002627FC">
      <w:pPr>
        <w:pStyle w:val="StandardWeb"/>
        <w:rPr>
          <w:rFonts w:ascii="Stem" w:hAnsi="Stem"/>
        </w:rPr>
      </w:pPr>
      <w:hyperlink r:id="rId6" w:tgtFrame="_blank" w:history="1">
        <w:proofErr w:type="spellStart"/>
        <w:r w:rsidR="00F9248E">
          <w:rPr>
            <w:rStyle w:val="Hyperlink"/>
            <w:rFonts w:ascii="Stem" w:hAnsi="Stem"/>
          </w:rPr>
          <w:t>a</w:t>
        </w:r>
        <w:r w:rsidR="002627FC" w:rsidRPr="00735663">
          <w:rPr>
            <w:rStyle w:val="Hyperlink"/>
            <w:rFonts w:ascii="Stem" w:hAnsi="Stem"/>
          </w:rPr>
          <w:t>karyon</w:t>
        </w:r>
        <w:proofErr w:type="spellEnd"/>
        <w:r w:rsidR="002627FC" w:rsidRPr="00735663">
          <w:rPr>
            <w:rStyle w:val="Hyperlink"/>
            <w:rFonts w:ascii="Stem" w:hAnsi="Stem"/>
          </w:rPr>
          <w:t xml:space="preserve"> GMBH </w:t>
        </w:r>
      </w:hyperlink>
      <w:r w:rsidR="002627FC" w:rsidRPr="00735663">
        <w:rPr>
          <w:rFonts w:ascii="Stem" w:hAnsi="Stem"/>
        </w:rPr>
        <w:t xml:space="preserve">ist spezialisiert auf Innovation, Bildung und Web-Tools, die irgendetwas mit Nachhaltigkeitsbezug </w:t>
      </w:r>
      <w:r w:rsidR="00735663" w:rsidRPr="00735663">
        <w:rPr>
          <w:rFonts w:ascii="Stem" w:hAnsi="Stem"/>
        </w:rPr>
        <w:t xml:space="preserve">rechnen. </w:t>
      </w:r>
    </w:p>
    <w:p w14:paraId="042A26C3" w14:textId="77777777" w:rsidR="002627FC" w:rsidRPr="00735663" w:rsidRDefault="002627FC" w:rsidP="002627FC">
      <w:pPr>
        <w:pStyle w:val="StandardWeb"/>
        <w:rPr>
          <w:rFonts w:ascii="Stem" w:hAnsi="Stem"/>
        </w:rPr>
      </w:pPr>
      <w:r w:rsidRPr="00735663">
        <w:rPr>
          <w:rFonts w:ascii="Stem" w:hAnsi="Stem"/>
        </w:rPr>
        <w:t xml:space="preserve">Die </w:t>
      </w:r>
      <w:hyperlink r:id="rId7" w:tgtFrame="_blank" w:history="1">
        <w:r w:rsidRPr="00735663">
          <w:rPr>
            <w:rStyle w:val="Hyperlink"/>
            <w:rFonts w:ascii="Stem" w:hAnsi="Stem"/>
          </w:rPr>
          <w:t>Arbeitsgruppe Nachhaltiges Bauen der TU Graz</w:t>
        </w:r>
      </w:hyperlink>
      <w:r w:rsidRPr="00735663">
        <w:rPr>
          <w:rFonts w:ascii="Stem" w:hAnsi="Stem"/>
        </w:rPr>
        <w:t xml:space="preserve"> bietet ein breites Spektrum </w:t>
      </w:r>
      <w:r w:rsidR="0064573A">
        <w:rPr>
          <w:rFonts w:ascii="Stem" w:hAnsi="Stem"/>
        </w:rPr>
        <w:t>an Leistungen in den B</w:t>
      </w:r>
      <w:r w:rsidRPr="00735663">
        <w:rPr>
          <w:rFonts w:ascii="Stem" w:hAnsi="Stem"/>
        </w:rPr>
        <w:t>ereich</w:t>
      </w:r>
      <w:r w:rsidR="0064573A">
        <w:rPr>
          <w:rFonts w:ascii="Stem" w:hAnsi="Stem"/>
        </w:rPr>
        <w:t xml:space="preserve">en </w:t>
      </w:r>
      <w:r w:rsidRPr="00735663">
        <w:rPr>
          <w:rFonts w:ascii="Stem" w:hAnsi="Stem"/>
        </w:rPr>
        <w:t>Nachhaltigkeitsbewertung, Ökobilanzen (LCA), Lebenszykluskostenrechnung (LCC) und systemische Nachhaltigkeits</w:t>
      </w:r>
      <w:r w:rsidR="0064573A">
        <w:rPr>
          <w:rFonts w:ascii="Stem" w:hAnsi="Stem"/>
        </w:rPr>
        <w:softHyphen/>
      </w:r>
      <w:r w:rsidRPr="00735663">
        <w:rPr>
          <w:rFonts w:ascii="Stem" w:hAnsi="Stem"/>
        </w:rPr>
        <w:t xml:space="preserve">modellierung einschließlich Digitalisierung (BIM) und </w:t>
      </w:r>
      <w:proofErr w:type="spellStart"/>
      <w:r w:rsidRPr="00735663">
        <w:rPr>
          <w:rFonts w:ascii="Stem" w:hAnsi="Stem"/>
        </w:rPr>
        <w:t>multikriterielle</w:t>
      </w:r>
      <w:proofErr w:type="spellEnd"/>
      <w:r w:rsidR="0064573A">
        <w:rPr>
          <w:rFonts w:ascii="Stem" w:hAnsi="Stem"/>
        </w:rPr>
        <w:t xml:space="preserve"> </w:t>
      </w:r>
      <w:r w:rsidRPr="00735663">
        <w:rPr>
          <w:rFonts w:ascii="Stem" w:hAnsi="Stem"/>
        </w:rPr>
        <w:t>Entscheidungsmodelle (MCDM)</w:t>
      </w:r>
      <w:r w:rsidR="0064573A">
        <w:rPr>
          <w:rFonts w:ascii="Stem" w:hAnsi="Stem"/>
        </w:rPr>
        <w:t xml:space="preserve"> an</w:t>
      </w:r>
      <w:r w:rsidRPr="00735663">
        <w:rPr>
          <w:rFonts w:ascii="Stem" w:hAnsi="Stem"/>
        </w:rPr>
        <w:t>.</w:t>
      </w:r>
    </w:p>
    <w:p w14:paraId="601DBD03" w14:textId="77777777" w:rsidR="00735663" w:rsidRPr="00735663" w:rsidRDefault="00C6578D" w:rsidP="009721DA">
      <w:pPr>
        <w:pStyle w:val="StandardWeb"/>
        <w:rPr>
          <w:rFonts w:ascii="Stem" w:hAnsi="Stem"/>
        </w:rPr>
      </w:pPr>
      <w:hyperlink r:id="rId8" w:tgtFrame="_blank" w:history="1">
        <w:proofErr w:type="spellStart"/>
        <w:r w:rsidR="009721DA" w:rsidRPr="00735663">
          <w:rPr>
            <w:rStyle w:val="Hyperlink"/>
            <w:rFonts w:ascii="Stem" w:hAnsi="Stem"/>
          </w:rPr>
          <w:t>Circular</w:t>
        </w:r>
        <w:proofErr w:type="spellEnd"/>
        <w:r w:rsidR="009721DA" w:rsidRPr="00735663">
          <w:rPr>
            <w:rStyle w:val="Hyperlink"/>
            <w:rFonts w:ascii="Stem" w:hAnsi="Stem"/>
          </w:rPr>
          <w:t xml:space="preserve"> Analytics</w:t>
        </w:r>
      </w:hyperlink>
      <w:r w:rsidR="009721DA" w:rsidRPr="00735663">
        <w:rPr>
          <w:rFonts w:ascii="Stem" w:hAnsi="Stem"/>
        </w:rPr>
        <w:t xml:space="preserve"> TK GmbH ist ein 2019 gegründetes Start-up-Unternehmen </w:t>
      </w:r>
      <w:r w:rsidR="0064573A">
        <w:rPr>
          <w:rFonts w:ascii="Stem" w:hAnsi="Stem"/>
        </w:rPr>
        <w:t xml:space="preserve">das sich </w:t>
      </w:r>
      <w:r w:rsidR="009721DA" w:rsidRPr="00735663">
        <w:rPr>
          <w:rFonts w:ascii="Stem" w:hAnsi="Stem"/>
        </w:rPr>
        <w:t>mit der Bewertung, Entwicklung und Optimierung nachhaltiger Verpackungssysteme</w:t>
      </w:r>
      <w:r w:rsidR="0064573A">
        <w:rPr>
          <w:rFonts w:ascii="Stem" w:hAnsi="Stem"/>
        </w:rPr>
        <w:t xml:space="preserve"> befasst.</w:t>
      </w:r>
      <w:r w:rsidR="009721DA" w:rsidRPr="00735663">
        <w:rPr>
          <w:rFonts w:ascii="Stem" w:hAnsi="Stem"/>
        </w:rPr>
        <w:t xml:space="preserve"> </w:t>
      </w:r>
    </w:p>
    <w:p w14:paraId="6FE90270" w14:textId="77777777" w:rsidR="00735663" w:rsidRPr="00735663" w:rsidRDefault="002627FC" w:rsidP="009721DA">
      <w:pPr>
        <w:pStyle w:val="StandardWeb"/>
        <w:rPr>
          <w:rFonts w:ascii="Stem" w:hAnsi="Stem"/>
        </w:rPr>
      </w:pPr>
      <w:r w:rsidRPr="00735663">
        <w:rPr>
          <w:rFonts w:ascii="Stem" w:hAnsi="Stem"/>
        </w:rPr>
        <w:t xml:space="preserve">Das Fachbüro Landschaftsökologie interdisziplinär </w:t>
      </w:r>
      <w:proofErr w:type="spellStart"/>
      <w:r w:rsidRPr="00735663">
        <w:rPr>
          <w:rFonts w:ascii="Stem" w:hAnsi="Stem"/>
        </w:rPr>
        <w:t>FLi</w:t>
      </w:r>
      <w:proofErr w:type="spellEnd"/>
      <w:r w:rsidRPr="00735663">
        <w:rPr>
          <w:rFonts w:ascii="Stem" w:hAnsi="Stem"/>
        </w:rPr>
        <w:t xml:space="preserve"> e.U. beschäftigt sich seit mehr als 10 Jahren mit wirtschaftlichen Rahmeninstrumenten im sozial-ökologischen Gesellschaftsbereich von der kommunalen bis zur staatlichen Ebene</w:t>
      </w:r>
      <w:r w:rsidR="0064573A">
        <w:rPr>
          <w:rFonts w:ascii="Stem" w:hAnsi="Stem"/>
        </w:rPr>
        <w:t xml:space="preserve"> und ist Initiator von ProNaWi.</w:t>
      </w:r>
    </w:p>
    <w:p w14:paraId="590F8789" w14:textId="77777777" w:rsidR="009721DA" w:rsidRPr="00735663" w:rsidRDefault="00C6578D" w:rsidP="009721DA">
      <w:pPr>
        <w:pStyle w:val="StandardWeb"/>
        <w:rPr>
          <w:rFonts w:ascii="Stem" w:hAnsi="Stem"/>
        </w:rPr>
      </w:pPr>
      <w:hyperlink r:id="rId9" w:tgtFrame="_blank" w:history="1">
        <w:r w:rsidR="009721DA" w:rsidRPr="00735663">
          <w:rPr>
            <w:rStyle w:val="Hyperlink"/>
            <w:rFonts w:ascii="Stem" w:hAnsi="Stem"/>
          </w:rPr>
          <w:t xml:space="preserve">BMD </w:t>
        </w:r>
      </w:hyperlink>
      <w:r w:rsidR="009721DA" w:rsidRPr="00735663">
        <w:rPr>
          <w:rFonts w:ascii="Stem" w:hAnsi="Stem"/>
        </w:rPr>
        <w:t>ist Anbieter hochwertiger Business</w:t>
      </w:r>
      <w:r w:rsidR="00735663" w:rsidRPr="00735663">
        <w:rPr>
          <w:rFonts w:ascii="Stem" w:hAnsi="Stem"/>
        </w:rPr>
        <w:t>-</w:t>
      </w:r>
      <w:r w:rsidR="009721DA" w:rsidRPr="00735663">
        <w:rPr>
          <w:rFonts w:ascii="Stem" w:hAnsi="Stem"/>
        </w:rPr>
        <w:t xml:space="preserve">Anwendungen und zählt mit mehr als 30.000 Kund*innen zu den führenden Softwarehäusern in Österreich. </w:t>
      </w:r>
    </w:p>
    <w:p w14:paraId="43CF6E8F" w14:textId="77777777" w:rsidR="00735663" w:rsidRPr="00735663" w:rsidRDefault="00735663" w:rsidP="00735663">
      <w:pPr>
        <w:pStyle w:val="StandardWeb"/>
        <w:rPr>
          <w:rFonts w:ascii="Stem" w:hAnsi="Stem"/>
        </w:rPr>
      </w:pPr>
      <w:r w:rsidRPr="00735663">
        <w:rPr>
          <w:rFonts w:ascii="Stem" w:hAnsi="Stem"/>
        </w:rPr>
        <w:t xml:space="preserve">Alexandra Fiedler-Lehmann, </w:t>
      </w:r>
      <w:hyperlink r:id="rId10" w:tgtFrame="_blank" w:history="1">
        <w:r w:rsidRPr="00735663">
          <w:rPr>
            <w:rStyle w:val="Hyperlink"/>
            <w:rFonts w:ascii="Stem" w:hAnsi="Stem"/>
          </w:rPr>
          <w:t>Die Gute Agentur</w:t>
        </w:r>
      </w:hyperlink>
      <w:r w:rsidRPr="00735663">
        <w:rPr>
          <w:rFonts w:ascii="Stem" w:hAnsi="Stem"/>
        </w:rPr>
        <w:t xml:space="preserve">, erstellt Marketing- und Kommunikationskonzepte für Produkte und Dienstleistungen vorwiegend aus öko-nahen Bereichen. </w:t>
      </w:r>
    </w:p>
    <w:p w14:paraId="07D12AFC" w14:textId="77777777" w:rsidR="009721DA" w:rsidRPr="00735663" w:rsidRDefault="009721DA" w:rsidP="009721DA">
      <w:pPr>
        <w:pStyle w:val="StandardWeb"/>
        <w:rPr>
          <w:rFonts w:ascii="Stem" w:hAnsi="Stem"/>
        </w:rPr>
      </w:pPr>
    </w:p>
    <w:p w14:paraId="7E6AC083" w14:textId="4B71DB78" w:rsidR="0064573A" w:rsidRPr="00735663" w:rsidRDefault="008622D2">
      <w:r w:rsidRPr="008622D2">
        <w:rPr>
          <w:rFonts w:eastAsia="Times New Roman"/>
          <w:sz w:val="24"/>
          <w:szCs w:val="24"/>
        </w:rPr>
        <w:t xml:space="preserve">DI Petra Bußwald, </w:t>
      </w:r>
      <w:proofErr w:type="spellStart"/>
      <w:r w:rsidR="00691C0A">
        <w:rPr>
          <w:rFonts w:eastAsia="Times New Roman"/>
          <w:sz w:val="24"/>
          <w:szCs w:val="24"/>
        </w:rPr>
        <w:t>a</w:t>
      </w:r>
      <w:r w:rsidRPr="008622D2">
        <w:rPr>
          <w:rFonts w:eastAsia="Times New Roman"/>
          <w:sz w:val="24"/>
          <w:szCs w:val="24"/>
        </w:rPr>
        <w:t>karyon</w:t>
      </w:r>
      <w:proofErr w:type="spellEnd"/>
      <w:r w:rsidRPr="008622D2">
        <w:rPr>
          <w:rFonts w:eastAsia="Times New Roman"/>
          <w:sz w:val="24"/>
          <w:szCs w:val="24"/>
        </w:rPr>
        <w:t xml:space="preserve"> Gmbh, busswald@akaryon.</w:t>
      </w:r>
      <w:r w:rsidR="00691C0A">
        <w:rPr>
          <w:rFonts w:eastAsia="Times New Roman"/>
          <w:sz w:val="24"/>
          <w:szCs w:val="24"/>
        </w:rPr>
        <w:t>com</w:t>
      </w:r>
      <w:r w:rsidRPr="008622D2">
        <w:rPr>
          <w:rFonts w:eastAsia="Times New Roman"/>
          <w:sz w:val="24"/>
          <w:szCs w:val="24"/>
        </w:rPr>
        <w:t>, Tel: 01 5039870</w:t>
      </w:r>
    </w:p>
    <w:sectPr w:rsidR="0064573A" w:rsidRPr="00735663" w:rsidSect="008159EF">
      <w:pgSz w:w="11906" w:h="16838"/>
      <w:pgMar w:top="720" w:right="720" w:bottom="720" w:left="720" w:header="709" w:footer="2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">
    <w:panose1 w:val="020B0503020203020204"/>
    <w:charset w:val="00"/>
    <w:family w:val="swiss"/>
    <w:notTrueType/>
    <w:pitch w:val="variable"/>
    <w:sig w:usb0="A00002FF" w:usb1="5000204B" w:usb2="00000024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 Bold">
    <w:panose1 w:val="020B0703020203020204"/>
    <w:charset w:val="00"/>
    <w:family w:val="swiss"/>
    <w:notTrueType/>
    <w:pitch w:val="variable"/>
    <w:sig w:usb0="A00002FF" w:usb1="5000204B" w:usb2="00000024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87EFD"/>
    <w:multiLevelType w:val="hybridMultilevel"/>
    <w:tmpl w:val="A35C891C"/>
    <w:lvl w:ilvl="0" w:tplc="6D8C1094">
      <w:start w:val="1"/>
      <w:numFmt w:val="bullet"/>
      <w:pStyle w:val="Headli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0FE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C131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237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42D5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A6E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CE0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E48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A7B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DA"/>
    <w:rsid w:val="0013394B"/>
    <w:rsid w:val="002627FC"/>
    <w:rsid w:val="0064573A"/>
    <w:rsid w:val="00691C0A"/>
    <w:rsid w:val="00735663"/>
    <w:rsid w:val="007C1948"/>
    <w:rsid w:val="007E0A4F"/>
    <w:rsid w:val="008159EF"/>
    <w:rsid w:val="008622D2"/>
    <w:rsid w:val="0089575B"/>
    <w:rsid w:val="009026D7"/>
    <w:rsid w:val="009179EC"/>
    <w:rsid w:val="009567F8"/>
    <w:rsid w:val="009640F0"/>
    <w:rsid w:val="009721DA"/>
    <w:rsid w:val="00BF1B3D"/>
    <w:rsid w:val="00C6578D"/>
    <w:rsid w:val="00D75DA5"/>
    <w:rsid w:val="00F9248E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9DCE"/>
  <w15:chartTrackingRefBased/>
  <w15:docId w15:val="{64DA185B-80DB-4781-8E31-7724206D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tem" w:eastAsiaTheme="minorHAnsi" w:hAnsi="Stem" w:cs="Times New Roman"/>
        <w:sz w:val="18"/>
        <w:szCs w:val="18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72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972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link w:val="HeadlineZchn"/>
    <w:qFormat/>
    <w:rsid w:val="0013394B"/>
    <w:pPr>
      <w:numPr>
        <w:numId w:val="1"/>
      </w:numPr>
    </w:pPr>
    <w:rPr>
      <w:rFonts w:ascii="Stem Bold" w:hAnsi="Stem Bold"/>
      <w:b/>
      <w:bCs/>
      <w:color w:val="007F92"/>
      <w:sz w:val="32"/>
    </w:rPr>
  </w:style>
  <w:style w:type="character" w:customStyle="1" w:styleId="HeadlineZchn">
    <w:name w:val="Headline Zchn"/>
    <w:basedOn w:val="Absatz-Standardschriftart"/>
    <w:link w:val="Headline"/>
    <w:rsid w:val="0013394B"/>
    <w:rPr>
      <w:rFonts w:ascii="Stem Bold" w:hAnsi="Stem Bold"/>
      <w:b/>
      <w:bCs/>
      <w:color w:val="007F92"/>
      <w:sz w:val="32"/>
    </w:rPr>
  </w:style>
  <w:style w:type="paragraph" w:styleId="StandardWeb">
    <w:name w:val="Normal (Web)"/>
    <w:basedOn w:val="Standard"/>
    <w:uiPriority w:val="99"/>
    <w:semiHidden/>
    <w:unhideWhenUsed/>
    <w:rsid w:val="0097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721D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21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21DA"/>
    <w:rPr>
      <w:rFonts w:ascii="Times New Roman" w:eastAsia="Times New Roman" w:hAnsi="Times New Roman"/>
      <w:b/>
      <w:bCs/>
      <w:sz w:val="36"/>
      <w:szCs w:val="3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573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6D7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6D7"/>
    <w:rPr>
      <w:rFonts w:ascii="Segoe UI" w:hAnsi="Segoe UI" w:cs="Segoe UI"/>
    </w:rPr>
  </w:style>
  <w:style w:type="paragraph" w:styleId="berarbeitung">
    <w:name w:val="Revision"/>
    <w:hidden/>
    <w:uiPriority w:val="99"/>
    <w:semiHidden/>
    <w:rsid w:val="00956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cularanalytic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s:/preview.tinyurl.com/wwfwjx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ryon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uteagentu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d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Fiedler-Lehmann</dc:creator>
  <cp:keywords/>
  <dc:description/>
  <cp:lastModifiedBy>Alexandra Fiedler-Lehmann</cp:lastModifiedBy>
  <cp:revision>9</cp:revision>
  <dcterms:created xsi:type="dcterms:W3CDTF">2020-01-24T13:22:00Z</dcterms:created>
  <dcterms:modified xsi:type="dcterms:W3CDTF">2020-02-10T08:19:00Z</dcterms:modified>
</cp:coreProperties>
</file>